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Delante w finale European Agency Awards 2026 w kategorii Best Use of AI in Client Campaign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Nominacja w tegorocznej edycji konkursu została przyznana dla agencji Delante za projekt zrealizowany dla globalnej platformy turystycznej Kiwi.com. Najważniejszym rezultatem współpracy był wzrost udziału marki w odpowiedziach AI z 25% do 62%.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Organizacje z sektora turystycznego coraz częściej mierzą się z wyzwaniem adaptacji swoich strategii do algorytmów opartych na sztucznej inteligencji i modelach językowych. </w:t>
      </w:r>
      <w:r>
        <w:rPr>
          <w:rFonts w:ascii="calibri" w:hAnsi="calibri" w:eastAsia="calibri" w:cs="calibri"/>
          <w:sz w:val="24"/>
          <w:szCs w:val="24"/>
          <w:b/>
        </w:rPr>
        <w:t xml:space="preserve">W przypadku Kiwi głównym celem było dotarcie do nowoczesnego podróżnika, który korzysta z hybrydowego modelu poszukiwań: od Google po ChatGPT i Perplexity.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Międzynarodowa walidacja kompetencji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w gronie finalistów European Agency Awards to dla agencji potwierdzenie, że kierunek rozwoju skupiający się na integracji tradycyjnego pozycjonowania z adaptacją do modeli AI odpowiada na potrzeby współczesnego rynku międzynarodowego.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7px; height:68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Krótka lista finalistów kategorii Best Use of AI in Client Campaign.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Udział marki w odpowiedziach AI wzrósł ponad dwukrotnie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podkreśla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Śliwa</w:t>
      </w:r>
      <w:r>
        <w:rPr>
          <w:rFonts w:ascii="calibri" w:hAnsi="calibri" w:eastAsia="calibri" w:cs="calibri"/>
          <w:sz w:val="24"/>
          <w:szCs w:val="24"/>
        </w:rPr>
        <w:t xml:space="preserve">, ekspertka Delante odpowiedzialna za projekt. P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rzełomowym wynikiem kampanii był jednak dowód na dwukierunkową synergię: budowanie autorytetu pod kątem AI stało się najsilniejszym sygnałem rankingowym dla tradycyjnego Google. Wyłącznie dzięki działaniom off-site pod kątem LLM, bez żadnych zmian technicznych na stronie, wywindowaliśmy kluczowe frazy o wolumenach do 33 tysięcy wyszukiwań miesięcznie do TOP 5. Ten rezultat, połączony z utrzymaniem stabilnego Brand Score na poziomie 59%, wyznacza zupełnie nowy rynkowy benchmark w dobie AI-First Search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podsumowanie wdrożenia oraz analiza wyzwań i osiągniętych rezultatów są dostępne w oficjalnym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case study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stronie Delante.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elante.pl/klienci/case-study-kiw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2026-09-16T05:14:02+02:00</dcterms:created>
  <dcterms:modified xsi:type="dcterms:W3CDTF">2026-09-16T05:14:02+02:00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