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Ekspertka Delante prelegentką na konferencji I Love Marketing &amp; Technology 2026. Katarzyna Śliwa opowie o nowej roli linków w budowaniu autorytetu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Ekspertka agencji Delante wystąpi 23 kwietnia na konferencji I Love Marketing &amp; Technology 2026 w Warszawie. Katarzyna Śliwa, Senior Off-site SEO Specialist, opowie o strategicznej roli linków w budowaniu autorytetu domeny. To bardzo ważne zagadnienie w kontekście zabezpieczania widoczności marki, biorąc pod uwagę wszystkie zmiany związane z wyszukiwaniem w modelach LLM.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Tranformacja modeli wyszukiwania powoduje, że inwestycja w bezpieczny profil linków staje się jednym z podstawowych elementów zarządzania ryzykiem biznesowym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Udział przedstawicieli Delante w konferencji to okazja dla wszystkich decydentów, aby przyjrzeć się analizie strategii widoczności swojej marki w sieci. </w:t>
      </w:r>
      <w:r>
        <w:rPr>
          <w:rFonts w:ascii="calibri" w:hAnsi="calibri" w:eastAsia="calibri" w:cs="calibri"/>
          <w:sz w:val="24"/>
          <w:szCs w:val="24"/>
          <w:b/>
        </w:rPr>
        <w:t xml:space="preserve">Wydarzenie I Love Marketing &amp; Technology 2026 odbędzie się w dniach 21-23.04 w Warszawie, a prelekcja ekspertki Delante będzie miała miejsce 23 kwietnia w ramach ścieżki PRO: SEO &amp; content.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budować cyfrową reputację i zaufanie w erze AI?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Zmiana sposobu wyszukiwania i rozwój modeli AI powodują, że podejście, które zdawało egzamin jeszcze jakiś czas temu, dziś już nie wystarczy, by zadbać o wiarygodny wizerunek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Tematem p</w:t>
      </w:r>
      <w:r>
        <w:rPr>
          <w:rFonts w:ascii="calibri" w:hAnsi="calibri" w:eastAsia="calibri" w:cs="calibri"/>
          <w:sz w:val="24"/>
          <w:szCs w:val="24"/>
        </w:rPr>
        <w:t xml:space="preserve">relekcji Katarzyny Śliwy będzie nowoczesny wymiar Off-site SEO, w którym priorytetem jest budowanie przewidywalnej reputacji cyfrowej</w:t>
      </w:r>
      <w:r>
        <w:rPr>
          <w:rFonts w:ascii="calibri" w:hAnsi="calibri" w:eastAsia="calibri" w:cs="calibri"/>
          <w:sz w:val="24"/>
          <w:szCs w:val="24"/>
        </w:rPr>
        <w:t xml:space="preserve">. I</w:t>
      </w:r>
      <w:r>
        <w:rPr>
          <w:rFonts w:ascii="calibri" w:hAnsi="calibri" w:eastAsia="calibri" w:cs="calibri"/>
          <w:sz w:val="24"/>
          <w:szCs w:val="24"/>
        </w:rPr>
        <w:t xml:space="preserve">nwestycja w autorytet domeny to element, który pozwala obniżyć koszt pozyskania klienta (CAC) </w:t>
      </w:r>
      <w:r>
        <w:rPr>
          <w:rFonts w:ascii="calibri" w:hAnsi="calibri" w:eastAsia="calibri" w:cs="calibri"/>
          <w:sz w:val="24"/>
          <w:szCs w:val="24"/>
        </w:rPr>
        <w:t xml:space="preserve">i budować długoterminową przewagę rynkową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Pozyskiwanie linków jest dzisiaj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decyzją o tym, w jakim otoczeniu cyfrowym pozycjonuje się marka.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ez Link Buildingu Google i narzędzia AI nie będą traktowały strony jako zaufaną i nie pokażą jej w swoich wynikach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Śliwa, Senior Off-site SEO Specialist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mojego wystąpienia opowiem o tym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strategicznie podejść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budowania dwutorowej ekspozycji marki w Google i AI.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porozmawiać o skalowaniu biznesu z partnerem strategicznym?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Obecność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I Love Marketing &amp; Technology to również przestrzeń do merytorycznych dyskusji w strefie wystawienniczej. Krakowska firma, która niedawno została wyróżniona i znalazła się w rankingu Diamentów Forbesa 2026,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dowadnia, że jej globalna skuteczność opiera się na dojrzałości organizacyjnej </w:t>
      </w:r>
      <w:r>
        <w:rPr>
          <w:rFonts w:ascii="calibri" w:hAnsi="calibri" w:eastAsia="calibri" w:cs="calibri"/>
          <w:sz w:val="24"/>
          <w:szCs w:val="24"/>
        </w:rPr>
        <w:t xml:space="preserve">i analityce.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stąd, tutaj mamy swoją bazę operacyjną, ale działamy globalnie. Biorąc udział w I Love Marketing możemy pokazać, że firmy z naszego regionu wyznaczają trendy, a nie tylko za nimi podążają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podkreślają przedstawiciele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Delante zapraszają do rozmów na temat estymacji wyników</w:t>
      </w:r>
      <w:r>
        <w:rPr>
          <w:rFonts w:ascii="calibri" w:hAnsi="calibri" w:eastAsia="calibri" w:cs="calibri"/>
          <w:sz w:val="24"/>
          <w:szCs w:val="24"/>
          <w:b/>
        </w:rPr>
        <w:t xml:space="preserve">, optymalizacji rentowności </w:t>
      </w:r>
      <w:r>
        <w:rPr>
          <w:rFonts w:ascii="calibri" w:hAnsi="calibri" w:eastAsia="calibri" w:cs="calibri"/>
          <w:sz w:val="24"/>
          <w:szCs w:val="24"/>
          <w:b/>
        </w:rPr>
        <w:t xml:space="preserve">oraz bezpiecznego skalowania biznesu za granicą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2026-07-25T08:56:14+02:00</dcterms:created>
  <dcterms:modified xsi:type="dcterms:W3CDTF">2026-07-25T08:56:14+02:00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