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link building nadal działa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linków, czyli zdobywanie wartościowych odnośników do własnej strony, od lat stanowi kluczowy element skutecznego pozycjonowania. Wraz z rozwojem algorytmów wyszukiwarek i pojawieniem się nowych rozwiązań opartych na sztucznej inteligencji, pojawia się pytanie: czy link building w 2025 roku ma jeszcze sens? Sprawdźmy, jak wygląda jego rola w obecnych realiach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 się link building w 2025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liczyła się głównie ilość pozyskanych linków – im więcej, tym lepiej. Dziś jednak Google dużo większą wagę przykłada do jakości i naturalności odnośników. Linki z przypadkowych, niskiej jakości stron mogą przynieść więcej szkody niż pożytku. Aktualnie najważniejsze są linki z wiarygodnych, powiązanych tematycznie serwisów, które rzeczywiście budują autorytet witryny.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i możliwości – AI 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to czas dynamicznego rozwoju narzędzi opartych na sztucznej inteligencji. Linki wpływają już nie tylko na tradycyjne wyniki wyszukiwania, ale także na widoczność w AI Overviews Google czy odpowiedziach generowanych przez ChatGPT. Odpowiednio zaplanowana strategia linkowania może zwiększyć szanse, że marka pojawi się w tych nowych formatach prezentacji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budować linki w 2025 roku?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wartościowe treści – unikalne artykuły, raporty czy poradniki naturalnie przyciągają linki z innych stron.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 gościnnie – artykuły eksperckie na branżowych portalach to szansa na zdobycie mocnych odnośników.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liderami opinii – influencerzy i eksperci mogą wspomóc widoczność Twojej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 konkurencję – sprawdzaj, skąd linki pozyskują najlepsi w branży i wykorzystuj te źródła.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 o techniczne SEO – link building przynosi najlepsze efekty, gdy jest częścią kompleksowej strategii, obejmującej również optymalizację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zwracają uwagę, że skuteczna strategia SEO w 2025 roku opiera się nie tylko na pozyskiwaniu wartościowych linków, ale także na aktywnym śledzeniu i zdobywaniu cennych wzmianek o marce w internecie. To właśnie połączenie obu tych działań daje najlepsze rezultaty w budowaniu widoczności i autorytetu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czy link building działa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link building wciąż jest skutecznym narzędziem SEO</w:t>
      </w:r>
      <w:r>
        <w:rPr>
          <w:rFonts w:ascii="calibri" w:hAnsi="calibri" w:eastAsia="calibri" w:cs="calibri"/>
          <w:sz w:val="24"/>
          <w:szCs w:val="24"/>
        </w:rPr>
        <w:t xml:space="preserve">, ale jego rola i sposób realizacji mocno się zmieniły. Dziś liczy się przede wszystkim jakość, autentyczność i strategiczne podejście. Budowanie linków powinno być elementem szerszej strategii, łączącej działania techniczne, content marketing i analizę danych. Tylko wtedy można osiągnąć trwałe efekty i wysoką widoczność w Google – także w erze AI.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2026-06-10T05:46:17+02:00</dcterms:created>
  <dcterms:modified xsi:type="dcterms:W3CDTF">2026-06-10T05:46:17+02:00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