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Delante: połączenie działań e-PR i SEO może obniżyć koszt pozyskania klienta (CAC)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krakowskiej agencji Delante opublikowali kompleksową analizę dotyczącą synergii cyfrowego PR-u oraz strategii Search. W najnowszym materiale dzielą się swoimi wnioskami i wskazują, że dojrzałe organizacje, które traktują komunikację korporacyjną jako element zarządzania widocznością, systematycznie obniżają koszt pozyskania klienta (CAC). To ważny argument dla dyrektorów marketingu, dzięki któremu mogą zredefiniować wydatki wizerunkowe i obronić ich rentowność (ROI) przed zarządem.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e-PR-u tylko przez pryzmat kosztów to błąd decyzyjny. Dojrzałe organizacje traktują zarządzanie reputacją jako mierzalną inwestycję, która bezpośrednio stabilizuje wyniki organiczne i minimalizuje ryzyko chaosu.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Bitner, Content Team Leader: Traktowanie e-PR w oderwaniu od analityki generuje ryzyko biznesowe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modeli LLM i zmiana sposobu wyszukiwania powodują, że klasyczne publikacje wizerunkowe pozbawione zaplecza analitycznego przestają budować rynkową przewagę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Decydenci, którzy nie integrują strategii PR z celami Search, narażają organizację na utratę kontroli nad narracją w kluczowych kanałach digitalowych</w:t>
      </w:r>
      <w:r>
        <w:rPr>
          <w:rFonts w:ascii="calibri" w:hAnsi="calibri" w:eastAsia="calibri" w:cs="calibri"/>
          <w:sz w:val="24"/>
          <w:szCs w:val="24"/>
        </w:rPr>
        <w:t xml:space="preserve">. W opinii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wygrywają te firmy, które wykorzystują działania komunikacyjne do pozyskiwania twardych sygnałów zaufania (autorytatywnych odnośników), bezpośrednio wzmacniających domenę.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Publikacje w mediach nie są już dzisiaj celem samym w sobie, lecz narzędziem do budowania długoterminowej przewagi rynkowej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Anna Bitner, Content Team Leader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najnowsza analiza dotyczy tego, w jaki sposób strategicznie zarządzany e-PR wspiera techniczne fundamenty biznesu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Skupiamy się na optymalizacji efektywności inwestycji, zdejmując z CMO ryzyko przepalania budżetu na działania o niemierzalnym zwrocie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Synergia kanałów obniża koszt lejka sprzedażowego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agencji omawiają mechanizm optymalizacji kosztów konwersji. </w:t>
      </w:r>
      <w:r>
        <w:rPr>
          <w:rFonts w:ascii="calibri" w:hAnsi="calibri" w:eastAsia="calibri" w:cs="calibri"/>
          <w:sz w:val="24"/>
          <w:szCs w:val="24"/>
          <w:b/>
        </w:rPr>
        <w:t xml:space="preserve">Zbudowany przez e-PR silny autorytet ekspercki sprawia, że klienci już na wczesnym etapie ścieżki zakupowej pozbywają się obiekcji</w:t>
      </w:r>
      <w:r>
        <w:rPr>
          <w:rFonts w:ascii="calibri" w:hAnsi="calibri" w:eastAsia="calibri" w:cs="calibri"/>
          <w:sz w:val="24"/>
          <w:szCs w:val="24"/>
        </w:rPr>
        <w:t xml:space="preserve">. W efekcie połączone siły komunikacji korporacyjnej i pozycjonowania drastycznie zwiększają współczynnik konwersji z ruchu organicznego. </w:t>
      </w:r>
      <w:r>
        <w:rPr>
          <w:rFonts w:ascii="calibri" w:hAnsi="calibri" w:eastAsia="calibri" w:cs="calibri"/>
          <w:sz w:val="24"/>
          <w:szCs w:val="24"/>
        </w:rPr>
        <w:t xml:space="preserve">Z perspektywy dyrektora finansowego (CFO) oznacza to maksymalizację rentowności całej struktury digital marketingu i systematyczne powiększanie udziału w Share of Voice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Estymacja wartości rynkowej reputacji w 2026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Świadome zarządzanie wizerunkiem marki w sieci wymaga decyzji opartych na danych (data-first).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ateriał Delante ma formę roadmapy, przy pomocy której eksperci tłumaczą, jak dojrzałe zespoły in-house mogą połączyć siły z partnerami zewnętrznymi, aby budować odporność organizacji na kryzysy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analiza dostępna jest na blogu agencji: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e-PR to inwestycja, a nie koszt? Jak budować reputację, która pracuje w Google i poza nim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dlaczego-e-pr-to-inwestycja-a-nie-koszt-jak-budowac-reputacje-ktora-pracuje-w-google-i-poza-n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2026-03-11T15:40:17+01:00</dcterms:created>
  <dcterms:modified xsi:type="dcterms:W3CDTF">2026-03-11T15:40:17+01:00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