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Eksperci Delante: połączenie działań e-PR i SEO może obniżyć koszt pozyskania klienta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Eksperci krakowskiej agencji Delante opublikowali kompleksową analizę dotyczącą synergii cyfrowego PR-u oraz strategii Search. W najnowszym materiale dzielą się swoimi wnioskami i wskazują, że dojrzałe organizacje, które traktują komunikację korporacyjną jako element zarządzania widocznością, systematycznie obniżają koszt pozyskania klienta (CAC). To ważny argument dla dyrektorów marketingu, dzięki któremu mogą zredefiniować wydatki wizerunkowe i obronić ich rentowność (ROI) przed zarządem.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Ocena e-PR-u tylko przez pryzmat kosztów to błąd decyzyjny. Dojrzałe organizacje traktują zarządzanie reputacją jako mierzalną inwestycję, która bezpośrednio stabilizuje wyniki organiczne i minimalizuje ryzyko chaosu.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traktowanie e-PR w oderwaniu od analityki generuje ryzyko biznesowe?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Rozwój modeli LLM i zmiana sposobu wyszukiwania powodują, że klasyczne publikacje wizerunkowe pozbawione zaplecza analitycznego przestają budować rynkową przewagę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b/>
        </w:rPr>
        <w:t xml:space="preserve">Decydenci, którzy nie integrują strategii PR z celami Search, narażają organizację na utratę kontroli nad narracją w kluczowych kanałach digitalowych</w:t>
      </w:r>
      <w:r>
        <w:rPr>
          <w:rFonts w:ascii="calibri" w:hAnsi="calibri" w:eastAsia="calibri" w:cs="calibri"/>
          <w:sz w:val="24"/>
          <w:szCs w:val="24"/>
        </w:rPr>
        <w:t xml:space="preserve">. W opinii ekspertów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Delante</w:t>
        </w:r>
      </w:hyperlink>
      <w:r>
        <w:rPr>
          <w:rFonts w:ascii="calibri" w:hAnsi="calibri" w:eastAsia="calibri" w:cs="calibri"/>
          <w:sz w:val="24"/>
          <w:szCs w:val="24"/>
        </w:rPr>
        <w:t xml:space="preserve"> wygrywają te firmy, które wykorzystują działania komunikacyjne do pozyskiwania twardych sygnałów zaufania (autorytatywnych odnośników), bezpośrednio wzmacniających domenę.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Publikacje w mediach nie są już dzisiaj celem samym w sobie, lecz narzędziem do budowania długoterminowej przewagi rynkowej</w:t>
      </w:r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  <w:b/>
        </w:rPr>
        <w:t xml:space="preserve">mówi Anna Bitner, Content Team Leader w Delante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Nasza najnowsza analiza dotyczy tego, w jaki sposób strategicznie zarządzany e-PR wspiera techniczne fundamenty biznesu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Skupiamy się na optymalizacji efektywności inwestycji, zdejmując z CMO ryzyko przepalania budżetu na działania o niemierzalnym zwrocie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Synergia kanałów obniża koszt lejka sprzedażowego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Specjaliści agencji omawiają mechanizm optymalizacji kosztów konwersji. </w:t>
      </w:r>
      <w:r>
        <w:rPr>
          <w:rFonts w:ascii="calibri" w:hAnsi="calibri" w:eastAsia="calibri" w:cs="calibri"/>
          <w:sz w:val="24"/>
          <w:szCs w:val="24"/>
          <w:b/>
        </w:rPr>
        <w:t xml:space="preserve">Zbudowany przez e-PR silny autorytet ekspercki sprawia, że klienci już na wczesnym etapie ścieżki zakupowej pozbywają się obiekcji</w:t>
      </w:r>
      <w:r>
        <w:rPr>
          <w:rFonts w:ascii="calibri" w:hAnsi="calibri" w:eastAsia="calibri" w:cs="calibri"/>
          <w:sz w:val="24"/>
          <w:szCs w:val="24"/>
        </w:rPr>
        <w:t xml:space="preserve">. W efekcie połączone siły komunikacji korporacyjnej i pozycjonowania drastycznie zwiększają współczynnik konwersji z ruchu organicznego. </w:t>
      </w:r>
      <w:r>
        <w:rPr>
          <w:rFonts w:ascii="calibri" w:hAnsi="calibri" w:eastAsia="calibri" w:cs="calibri"/>
          <w:sz w:val="24"/>
          <w:szCs w:val="24"/>
        </w:rPr>
        <w:t xml:space="preserve">Z perspektywy dyrektora finansowego (CFO) oznacza to maksymalizację rentowności całej struktury digital marketingu i systematyczne powiększanie udziału w Share of Voice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Estymacja wartości rynkowej reputacji w 2026 roku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Świadome zarządzanie wizerunkiem marki w sieci wymaga decyzji opartych na danych (data-first). </w:t>
      </w:r>
      <w:r>
        <w:rPr>
          <w:rFonts w:ascii="calibri" w:hAnsi="calibri" w:eastAsia="calibri" w:cs="calibri"/>
          <w:sz w:val="24"/>
          <w:szCs w:val="24"/>
        </w:rPr>
        <w:t xml:space="preserve">M</w:t>
      </w:r>
      <w:r>
        <w:rPr>
          <w:rFonts w:ascii="calibri" w:hAnsi="calibri" w:eastAsia="calibri" w:cs="calibri"/>
          <w:sz w:val="24"/>
          <w:szCs w:val="24"/>
        </w:rPr>
        <w:t xml:space="preserve">ateriał Delante ma formę roadmapy, przy pomocy której eksperci tłumaczą, jak dojrzałe zespoły in-house mogą połączyć siły z partnerami zewnętrznymi, aby budować odporność organizacji na kryzysy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Pełna analiza dostępna jest na blogu agencji: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Dlaczego e-PR to inwestycja, a nie koszt? Jak budować reputację, która pracuje w Google i poza nim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elante.pl/" TargetMode="External"/><Relationship Id="rId8" Type="http://schemas.openxmlformats.org/officeDocument/2006/relationships/hyperlink" Target="https://delante.pl/dlaczego-e-pr-to-inwestycja-a-nie-koszt-jak-budowac-reputacje-ktora-pracuje-w-google-i-poza-ni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2026-09-08T11:36:58+02:00</dcterms:created>
  <dcterms:modified xsi:type="dcterms:W3CDTF">2026-09-08T11:36:58+02:00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