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Delante: umowa SEO na czas nieokreślony to gwarancja bezpieczeństwa dla CFO</w:t>
      </w:r>
    </w:p>
    <w:p>
      <w:pPr>
        <w:spacing w:before="0" w:after="500" w:line="264" w:lineRule="auto"/>
      </w:pPr>
      <w:r>
        <w:rPr>
          <w:rFonts w:ascii="calibri" w:hAnsi="calibri" w:eastAsia="calibri" w:cs="calibri"/>
          <w:sz w:val="36"/>
          <w:szCs w:val="36"/>
          <w:b/>
        </w:rPr>
        <w:t xml:space="preserve">Eksperci Delante zabrali głos w głośnym temacie współpracy z agencjami. Damian Hliwa, Head of SEO, opublikował analizę, w której stawia tezę, że umowy pozbawione długoterminowych okresów wypowiedzenia stają się nowym standardem ochrony kapitału w dojrzałych organizacjach.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Alokacja budżetu marketingowego wymaga obecnie maksymalnej elastyczności operacyjnej. Zablokowanie środków w sztywnych, wielomiesięcznych kontraktach to z perspektywy dyrektora finansowego (CFO) nieuzasadnione ryzyko biznesowe, na które liderzy rynku nie mogą sobie dzisiaj pozwolić.</w:t>
      </w:r>
    </w:p>
    <w:p>
      <w:pPr>
        <w:spacing w:before="0" w:after="500" w:line="264" w:lineRule="auto"/>
      </w:pPr>
      <w:r>
        <w:rPr>
          <w:rFonts w:ascii="calibri" w:hAnsi="calibri" w:eastAsia="calibri" w:cs="calibri"/>
          <w:sz w:val="36"/>
          <w:szCs w:val="36"/>
          <w:b/>
        </w:rPr>
        <w:t xml:space="preserve">Dlaczego sztywne umowy generują ukryte ryzyko biznesowe?</w:t>
      </w:r>
    </w:p>
    <w:p>
      <w:pPr>
        <w:spacing w:before="0" w:after="300"/>
      </w:pPr>
      <w:r>
        <w:rPr>
          <w:rFonts w:ascii="calibri" w:hAnsi="calibri" w:eastAsia="calibri" w:cs="calibri"/>
          <w:sz w:val="24"/>
          <w:szCs w:val="24"/>
        </w:rPr>
        <w:t xml:space="preserve">Jeszcze do niedawna standardem było wiązanie się z dostawcami usług na wiele miesięcy, co miało rzekomo gwarantować czas na optymalizację działań</w:t>
      </w:r>
      <w:r>
        <w:rPr>
          <w:rFonts w:ascii="calibri" w:hAnsi="calibri" w:eastAsia="calibri" w:cs="calibri"/>
          <w:sz w:val="24"/>
          <w:szCs w:val="24"/>
        </w:rPr>
        <w:t xml:space="preserve">. </w:t>
      </w:r>
      <w:r>
        <w:rPr>
          <w:rFonts w:ascii="calibri" w:hAnsi="calibri" w:eastAsia="calibri" w:cs="calibri"/>
          <w:sz w:val="24"/>
          <w:szCs w:val="24"/>
        </w:rPr>
        <w:t xml:space="preserve">Dziś rozwój modeli AI oraz zmiana sposobu wyszukiwania powodują, że takie podejście utrudnia szybką rekalibrację strategii</w:t>
      </w:r>
      <w:r>
        <w:rPr>
          <w:rFonts w:ascii="calibri" w:hAnsi="calibri" w:eastAsia="calibri" w:cs="calibri"/>
          <w:sz w:val="24"/>
          <w:szCs w:val="24"/>
        </w:rPr>
        <w:t xml:space="preserve">. </w:t>
      </w:r>
      <w:r>
        <w:rPr>
          <w:rFonts w:ascii="calibri" w:hAnsi="calibri" w:eastAsia="calibri" w:cs="calibri"/>
          <w:sz w:val="24"/>
          <w:szCs w:val="24"/>
          <w:b/>
        </w:rPr>
        <w:t xml:space="preserve">Z perspektywy zarządów długie okresy wypowiedzenia często maskują brak kompetencji agencji i służą wyłącznie temu, aby zyskać na czasie.</w:t>
      </w:r>
      <w:r>
        <w:rPr>
          <w:rFonts w:ascii="calibri" w:hAnsi="calibri" w:eastAsia="calibri" w:cs="calibri"/>
          <w:sz w:val="24"/>
          <w:szCs w:val="24"/>
        </w:rPr>
        <w:t xml:space="preserve"> </w:t>
      </w:r>
      <w:r>
        <w:rPr>
          <w:rFonts w:ascii="calibri" w:hAnsi="calibri" w:eastAsia="calibri" w:cs="calibri"/>
          <w:sz w:val="24"/>
          <w:szCs w:val="24"/>
        </w:rPr>
        <w:t xml:space="preserve">Dojrzałe struktury potrzebują partnera, który udowadnia swoją wartość poprzez mierzalny wpływ na przychód i stabilizację wyników, a nie poprzez prawne blokady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Sztuczne utrzymywanie klienta w nierentownej relacji to zaprzeczenie idei partnerstwa strategicznego</w:t>
      </w:r>
      <w:r>
        <w:rPr>
          <w:rFonts w:ascii="calibri" w:hAnsi="calibri" w:eastAsia="calibri" w:cs="calibri"/>
          <w:sz w:val="24"/>
          <w:szCs w:val="24"/>
        </w:rPr>
        <w:t xml:space="preserve"> – mówi </w:t>
      </w:r>
      <w:r>
        <w:rPr>
          <w:rFonts w:ascii="calibri" w:hAnsi="calibri" w:eastAsia="calibri" w:cs="calibri"/>
          <w:sz w:val="24"/>
          <w:szCs w:val="24"/>
          <w:b/>
        </w:rPr>
        <w:t xml:space="preserve">Damian Hliwa, Head of SEO w Delante</w:t>
      </w:r>
      <w:r>
        <w:rPr>
          <w:rFonts w:ascii="calibri" w:hAnsi="calibri" w:eastAsia="calibri" w:cs="calibri"/>
          <w:sz w:val="24"/>
          <w:szCs w:val="24"/>
        </w:rPr>
        <w:t xml:space="preserve">. – </w:t>
      </w:r>
      <w:r>
        <w:rPr>
          <w:rFonts w:ascii="calibri" w:hAnsi="calibri" w:eastAsia="calibri" w:cs="calibri"/>
          <w:sz w:val="24"/>
          <w:szCs w:val="24"/>
          <w:i/>
          <w:iCs/>
        </w:rPr>
        <w:t xml:space="preserve">Wdrażając model współpracy bez okresu wypowiedzenia, przejmujemy na siebie pełną odpowiedzialność za realizację estymowanych wyników. Naszym celem jest dostarczenie dyrektorom marketingu twardych argumentów, które obronią się przed CFO. Skupiamy się na optymalizacji kosztu pozyskania klienta (CAC) i budowaniu dominacji w Share of Voice, eliminując ryzyko inwestycyjne po stronie organizacji.</w:t>
      </w:r>
    </w:p>
    <w:p>
      <w:pPr>
        <w:spacing w:before="0" w:after="500" w:line="264" w:lineRule="auto"/>
      </w:pPr>
      <w:r>
        <w:rPr>
          <w:rFonts w:ascii="calibri" w:hAnsi="calibri" w:eastAsia="calibri" w:cs="calibri"/>
          <w:sz w:val="36"/>
          <w:szCs w:val="36"/>
          <w:b/>
        </w:rPr>
        <w:t xml:space="preserve">W jaki sposób elastyczny model współpracy weryfikuje dojrzałość agencji?</w:t>
      </w:r>
    </w:p>
    <w:p>
      <w:pPr>
        <w:spacing w:before="0" w:after="300"/>
      </w:pPr>
      <w:r>
        <w:rPr>
          <w:rFonts w:ascii="calibri" w:hAnsi="calibri" w:eastAsia="calibri" w:cs="calibri"/>
          <w:sz w:val="24"/>
          <w:szCs w:val="24"/>
          <w:b/>
        </w:rPr>
        <w:t xml:space="preserve">Brak „poduszki bezpieczeństwa” w postaci długoterminowego kontraktu to ostateczny test dla infrastruktury dostawcy.</w:t>
      </w:r>
      <w:r>
        <w:rPr>
          <w:rFonts w:ascii="calibri" w:hAnsi="calibri" w:eastAsia="calibri" w:cs="calibri"/>
          <w:sz w:val="24"/>
          <w:szCs w:val="24"/>
        </w:rPr>
        <w:t xml:space="preserve"> Wymusza on na zespole agencyjnym najwyższą transparentność i analityczne podejście do każdego wdrożenia. </w:t>
      </w:r>
      <w:r>
        <w:rPr>
          <w:rFonts w:ascii="calibri" w:hAnsi="calibri" w:eastAsia="calibri" w:cs="calibri"/>
          <w:sz w:val="24"/>
          <w:szCs w:val="24"/>
        </w:rPr>
        <w:t xml:space="preserve">Każda rekomendacja musi bezpośrednio przekładać się na realizację wskaźników biznesowych klienta</w:t>
      </w:r>
      <w:r>
        <w:rPr>
          <w:rFonts w:ascii="calibri" w:hAnsi="calibri" w:eastAsia="calibri" w:cs="calibri"/>
          <w:sz w:val="24"/>
          <w:szCs w:val="24"/>
        </w:rPr>
        <w:t xml:space="preserve">. </w:t>
      </w:r>
      <w:r>
        <w:rPr>
          <w:rFonts w:ascii="calibri" w:hAnsi="calibri" w:eastAsia="calibri" w:cs="calibri"/>
          <w:sz w:val="24"/>
          <w:szCs w:val="24"/>
        </w:rPr>
        <w:t xml:space="preserve">Dla sektora Enterprise jest to obiektywna walidacja tego, czy agencja faktycznie zarządza widocznością pod kątem intencji zakupowych i wymogów </w:t>
      </w:r>
      <w:hyperlink r:id="rId7" w:history="1">
        <w:r>
          <w:rPr>
            <w:rFonts w:ascii="calibri" w:hAnsi="calibri" w:eastAsia="calibri" w:cs="calibri"/>
            <w:color w:val="0000FF"/>
            <w:sz w:val="24"/>
            <w:szCs w:val="24"/>
            <w:u w:val="single"/>
          </w:rPr>
          <w:t xml:space="preserve">AISO</w:t>
        </w:r>
      </w:hyperlink>
      <w:r>
        <w:rPr>
          <w:rFonts w:ascii="calibri" w:hAnsi="calibri" w:eastAsia="calibri" w:cs="calibri"/>
          <w:sz w:val="24"/>
          <w:szCs w:val="24"/>
        </w:rPr>
        <w:t xml:space="preserve">, czy jedynie realizuje rutynowe działania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zabezpieczyć budżet na skalowanie w nadchodzących kwartałach?</w:t>
      </w:r>
    </w:p>
    <w:p>
      <w:pPr>
        <w:spacing w:before="0" w:after="300"/>
      </w:pPr>
      <w:r>
        <w:rPr>
          <w:rFonts w:ascii="calibri" w:hAnsi="calibri" w:eastAsia="calibri" w:cs="calibri"/>
          <w:sz w:val="24"/>
          <w:szCs w:val="24"/>
        </w:rPr>
        <w:t xml:space="preserve">Świadome zarządzanie cyfrową reputacją wymaga partnera, który stawia rentowność projektów na pierwszym miejscu</w:t>
      </w:r>
      <w:r>
        <w:rPr>
          <w:rFonts w:ascii="calibri" w:hAnsi="calibri" w:eastAsia="calibri" w:cs="calibri"/>
          <w:sz w:val="24"/>
          <w:szCs w:val="24"/>
        </w:rPr>
        <w:t xml:space="preserve">. Pełna argumentacja biznesowa stojąca za modelem umów bez okresu wypowiedzenia oraz analiza korzyści dla struktur in-house, znajduje się w najnowszej publikacji na blogu agencji: </w:t>
      </w:r>
      <w:hyperlink r:id="rId8" w:history="1">
        <w:r>
          <w:rPr>
            <w:rFonts w:ascii="calibri" w:hAnsi="calibri" w:eastAsia="calibri" w:cs="calibri"/>
            <w:color w:val="0000FF"/>
            <w:sz w:val="24"/>
            <w:szCs w:val="24"/>
            <w:u w:val="single"/>
          </w:rPr>
          <w:t xml:space="preserve">Dlaczego model „success-driven” to jedyna uczciwa oferta dla Managera?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lante.pl/aiso/" TargetMode="External"/><Relationship Id="rId8" Type="http://schemas.openxmlformats.org/officeDocument/2006/relationships/hyperlink" Target="https://delante.pl/umowa-bez-okresu-wypowiedzenia-z-ag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2026-06-16T05:24:57+02:00</dcterms:created>
  <dcterms:modified xsi:type="dcterms:W3CDTF">2026-06-16T05:24:57+02:00</dcterms:modified>
</cp:coreProperties>
</file>

<file path=docProps/custom.xml><?xml version="1.0" encoding="utf-8"?>
<Properties xmlns="http://schemas.openxmlformats.org/officeDocument/2006/custom-properties" xmlns:vt="http://schemas.openxmlformats.org/officeDocument/2006/docPropsVTypes"/>
</file>