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Dwutorowa ekspozycja w Google i wynikach AI. Delante uruchamia usługę AI Authority Link Building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Agencja Delante rozszerza swoją ofertę o usługę AI Authority Link Building. Rozwiązanie odpowiada na rosnącą potrzebę zarządzania widocznością marek w dwóch systemach jednocześnie: klasycznych wynikach Google oraz odpowiedziach AI/LLM.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okresie pierwszego kwartału zarządy firm oczekują precyzyjnej alokacji zatwierdzonych budżetów, a więc inwestycja w bezpieczne i nowoczesne modele wzrostu staje się dla nich priorytetem</w:t>
      </w:r>
      <w:r>
        <w:rPr>
          <w:rFonts w:ascii="calibri" w:hAnsi="calibri" w:eastAsia="calibri" w:cs="calibri"/>
          <w:sz w:val="24"/>
          <w:szCs w:val="24"/>
        </w:rPr>
        <w:t xml:space="preserve">. </w:t>
      </w:r>
      <w:r>
        <w:rPr>
          <w:rFonts w:ascii="calibri" w:hAnsi="calibri" w:eastAsia="calibri" w:cs="calibri"/>
          <w:sz w:val="24"/>
          <w:szCs w:val="24"/>
        </w:rPr>
        <w:t xml:space="preserve">Nowa usługa Delante pozwala wyprzedzić rynkowe zmiany i budować wiarygodną pozycję marki.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Dlaczego klasyczne podejście do widoczności generuje dziś ryzyko biznesowe?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Zmiana w Search i rozwój modeli AI wpływają na to, że standardowe podejście do SEO przestaje wystarczać do utrzymania obecnego udziału w rynku</w:t>
      </w:r>
      <w:r>
        <w:rPr>
          <w:rFonts w:ascii="calibri" w:hAnsi="calibri" w:eastAsia="calibri" w:cs="calibri"/>
          <w:sz w:val="24"/>
          <w:szCs w:val="24"/>
        </w:rPr>
        <w:t xml:space="preserve">. </w:t>
      </w:r>
      <w:r>
        <w:rPr>
          <w:rFonts w:ascii="calibri" w:hAnsi="calibri" w:eastAsia="calibri" w:cs="calibri"/>
          <w:sz w:val="24"/>
          <w:szCs w:val="24"/>
          <w:b/>
        </w:rPr>
        <w:t xml:space="preserve">Opieranie się wyłącznie na przestarzałych metodach pozyskiwania odnośników bez uwzględnienia wymagań sztucznej inteligencji naraża firmę na wymierne ryzyko finansowe i rozmycie widoczności kluczowych produktów</w:t>
      </w:r>
      <w:r>
        <w:rPr>
          <w:rFonts w:ascii="calibri" w:hAnsi="calibri" w:eastAsia="calibri" w:cs="calibri"/>
          <w:sz w:val="24"/>
          <w:szCs w:val="24"/>
          <w:b/>
        </w:rPr>
        <w:t xml:space="preserve">. </w:t>
      </w:r>
      <w:r>
        <w:rPr>
          <w:rFonts w:ascii="calibri" w:hAnsi="calibri" w:eastAsia="calibri" w:cs="calibri"/>
          <w:sz w:val="24"/>
          <w:szCs w:val="24"/>
        </w:rPr>
        <w:t xml:space="preserve">Dojrzałe organizacje potrzebują dziś zintegrowanej strategii, która amortyzuje ryzyko biznesowe, zapewniając bezpieczną adaptację do AI</w:t>
      </w:r>
      <w:r>
        <w:rPr>
          <w:rFonts w:ascii="calibri" w:hAnsi="calibri" w:eastAsia="calibri" w:cs="calibri"/>
          <w:sz w:val="24"/>
          <w:szCs w:val="24"/>
        </w:rPr>
        <w:t xml:space="preserve">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W jaki sposób AI Authority Link Building zabezpiecza realizację KPI?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Nowa usługa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Delante</w:t>
        </w:r>
      </w:hyperlink>
      <w:r>
        <w:rPr>
          <w:rFonts w:ascii="calibri" w:hAnsi="calibri" w:eastAsia="calibri" w:cs="calibri"/>
          <w:sz w:val="24"/>
          <w:szCs w:val="24"/>
        </w:rPr>
        <w:t xml:space="preserve"> została zaprojektowana jako kompleksowe narzędzie do zarządzania autorytetem domeny i rozwijania przewagi rynkowej</w:t>
      </w:r>
      <w:r>
        <w:rPr>
          <w:rFonts w:ascii="calibri" w:hAnsi="calibri" w:eastAsia="calibri" w:cs="calibri"/>
          <w:sz w:val="24"/>
          <w:szCs w:val="24"/>
        </w:rPr>
        <w:t xml:space="preserve">. </w:t>
      </w:r>
      <w:r>
        <w:rPr>
          <w:rFonts w:ascii="calibri" w:hAnsi="calibri" w:eastAsia="calibri" w:cs="calibri"/>
          <w:sz w:val="24"/>
          <w:szCs w:val="24"/>
          <w:b/>
        </w:rPr>
        <w:t xml:space="preserve">Proces ten polega na dostarczaniu wysokiej jakości sygnałów zaufania, które w równym stopniu wpływają na pozycjonowanie w Google, jak i na częstotliwość cytowania marki przez modele językowe</w:t>
      </w:r>
      <w:r>
        <w:rPr>
          <w:rFonts w:ascii="calibri" w:hAnsi="calibri" w:eastAsia="calibri" w:cs="calibri"/>
          <w:sz w:val="24"/>
          <w:szCs w:val="24"/>
          <w:b/>
        </w:rPr>
        <w:t xml:space="preserve">. </w:t>
      </w:r>
      <w:r>
        <w:rPr>
          <w:rFonts w:ascii="calibri" w:hAnsi="calibri" w:eastAsia="calibri" w:cs="calibri"/>
          <w:sz w:val="24"/>
          <w:szCs w:val="24"/>
        </w:rPr>
        <w:t xml:space="preserve">Z perspektywy decydentów oznacza to długoterminową stabilność wyników, systematyczne zwiększanie udziału w Share of Voice oraz mierzalny wpływ na obniżenie kosztu pozyskania klienta (CAC)</w:t>
      </w:r>
      <w:r>
        <w:rPr>
          <w:rFonts w:ascii="calibri" w:hAnsi="calibri" w:eastAsia="calibri" w:cs="calibri"/>
          <w:sz w:val="24"/>
          <w:szCs w:val="24"/>
        </w:rPr>
        <w:t xml:space="preserve">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–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Teraz znaczenie ma to, czy model językowy uważa markę za wiarygodne źródło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– </w:t>
      </w:r>
      <w:r>
        <w:rPr>
          <w:rFonts w:ascii="calibri" w:hAnsi="calibri" w:eastAsia="calibri" w:cs="calibri"/>
          <w:sz w:val="24"/>
          <w:szCs w:val="24"/>
          <w:b/>
        </w:rPr>
        <w:t xml:space="preserve">mówi Katarzyna Śliwa, twórczyni usługi i Senior Off-site SEO Specialist w Delante</w:t>
      </w:r>
      <w:r>
        <w:rPr>
          <w:rFonts w:ascii="calibri" w:hAnsi="calibri" w:eastAsia="calibri" w:cs="calibri"/>
          <w:sz w:val="24"/>
          <w:szCs w:val="24"/>
        </w:rPr>
        <w:t xml:space="preserve">. </w:t>
      </w:r>
      <w:r>
        <w:rPr>
          <w:rFonts w:ascii="calibri" w:hAnsi="calibri" w:eastAsia="calibri" w:cs="calibri"/>
          <w:sz w:val="24"/>
          <w:szCs w:val="24"/>
        </w:rPr>
        <w:t xml:space="preserve">–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Dlatego wprowadziliśmy AI Authority Link Building: tworzymy w ten sposób dwutorową strategię, która zwiększa widoczność zarówno w wynikach organicznych, jak i bezpośrednio w LLMach. W ten sposób kodujemy autorytet firmy w algorytmach AI</w:t>
      </w:r>
      <w:r>
        <w:rPr>
          <w:rFonts w:ascii="calibri" w:hAnsi="calibri" w:eastAsia="calibri" w:cs="calibri"/>
          <w:sz w:val="24"/>
          <w:szCs w:val="24"/>
        </w:rPr>
        <w:t xml:space="preserve">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Wszystkie </w:t>
      </w:r>
      <w:r>
        <w:rPr>
          <w:rFonts w:ascii="calibri" w:hAnsi="calibri" w:eastAsia="calibri" w:cs="calibri"/>
          <w:sz w:val="24"/>
          <w:szCs w:val="24"/>
        </w:rPr>
        <w:t xml:space="preserve">informacje na temat usługi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AI Authority Link Building</w:t>
        </w:r>
      </w:hyperlink>
      <w:r>
        <w:rPr>
          <w:rFonts w:ascii="calibri" w:hAnsi="calibri" w:eastAsia="calibri" w:cs="calibri"/>
          <w:sz w:val="24"/>
          <w:szCs w:val="24"/>
        </w:rPr>
        <w:t xml:space="preserve"> znajdują się na stronie agencji</w:t>
      </w:r>
      <w:r>
        <w:rPr>
          <w:rFonts w:ascii="calibri" w:hAnsi="calibri" w:eastAsia="calibri" w:cs="calibri"/>
          <w:sz w:val="24"/>
          <w:szCs w:val="24"/>
        </w:rPr>
        <w:t xml:space="preserve">.</w:t>
      </w:r>
    </w:p>
    <w:p>
      <w:pPr>
        <w:spacing w:before="0" w:after="300"/>
      </w:pP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delante.pl/" TargetMode="External"/><Relationship Id="rId8" Type="http://schemas.openxmlformats.org/officeDocument/2006/relationships/hyperlink" Target="https://delante.pl/ai-authority-link-building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2026-07-25T08:56:11+02:00</dcterms:created>
  <dcterms:modified xsi:type="dcterms:W3CDTF">2026-07-25T08:56:11+02:00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